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331</w:t>
      </w:r>
    </w:p>
    <w:p>
      <w:r>
        <w:t>Bundesgericht (BGE), 2003-03-25, DE</w:t>
      </w:r>
    </w:p>
    <w:p>
      <w:r>
        <w:rPr>
          <w:b/>
        </w:rPr>
        <w:t xml:space="preserve">Quelle: </w:t>
      </w:r>
      <w:r>
        <w:t>https://mcp.opencaselaw.ch/entscheid/bge_129 III 331</w:t>
      </w:r>
    </w:p>
    <w:p>
      <w:r>
        <w:t>FR: ATF 129 III 331</w:t>
      </w:r>
    </w:p>
    <w:p>
      <w:r>
        <w:t>IT: DTF 129 III 331</w:t>
      </w:r>
    </w:p>
    <w:p>
      <w:pPr>
        <w:pStyle w:val="Heading2"/>
      </w:pPr>
      <w:r>
        <w:t>Regeste</w:t>
      </w:r>
    </w:p>
    <w:p>
      <w:r>
        <w:t>Regeste Unerlaubte Handlung; Beschädigung von Bäumen (Art. 43 OR). Bestimmung des Schadenersatzes für die Zerstörung oder Beschädigung von Bäumen (E. 2).</w:t>
      </w:r>
    </w:p>
    <w:p>
      <w:pPr>
        <w:pStyle w:val="Heading2"/>
      </w:pPr>
      <w:r>
        <w:t>Erwägungen</w:t>
      </w:r>
    </w:p>
    <w:p>
      <w:r>
        <w:rPr>
          <w:b/>
        </w:rPr>
        <w:t>E. 2.1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128 III 22 E. 2e/aa; BGE 104 II 198 S. 199; BGE 90 II 417 E. 3 S. 424, je mit Hinweisen). In BGE 127 III 73 E. 4b ist ausgeführt worden, dass Bäume gemäss dem sachenrechtlichen Akzessionsprinzip dem Eigentümer des Grundstücks gehören, auf dem sie wachsen. Ihre Beschädigung oder BGE 129 III 331 S. 333 Zerstörung beeinflusse daher den Wert des Grundstücks, dessen Bestandteil sie bildeten. Der Verkehrswert dieses Grundstücks könne durch die Beschädigung eines Baumes je nach Art und Nutzung der Liegenschaft unabhängig vom Wert des beschädigten Baumes selbst betroffen sein. Unter Umständen trete ein wirtschaftlicher Schaden gar nicht ein, etwa wenn durch die Zerstörung eines Baumes die Überbaubarkeit eines Grundstücks erst ermöglicht und damit dessen Wert erhöht werde. Im ersten Satz der folgenden Erwägung ist schliesslich festgehalten worden, falls die Werteinbusse des Grundstücks mit vernünftigem Aufwand nicht festgestellt werden könne, sei zur Berechnung des Schadens vom Baum selbst als der vom schädigenden Ereignis direkt betroffenen Sache auszugehen.</w:t>
      </w:r>
    </w:p>
    <w:p>
      <w:r>
        <w:rPr>
          <w:b/>
        </w:rPr>
        <w:t>E. 2.2</w:t>
      </w:r>
    </w:p>
    <w:p>
      <w:r>
        <w:t>In den zitierten Passagen von BGE 127 III 73 E. 4b ist hervorgehoben worden, dass die Beschädigung eines Baumes einen Einfluss auf den Verkehrswert des Grundstückes haben kann. Das mag in einzelnen Fällen, beim Vorliegen besonderer Umstände zutreffen, entspricht aber nicht dem Normalfall. Handelt es sich um einen, zwei oder drei Bäume, die im mit mehreren anderen Bäumen bewachsenen Garten eines Wohnhauses stehen, hat deren Beschädigung in der Regel keine Auswirkungen auf den Verkehrswert des Grundstückes. Anders könnte es sich dagegen verhalten, wenn beispielsweise alle auf einem Wohngrundstück stehenden Bäume gefällt oder massiv beschädigt worden wären. Das in der Literatur erwähnte Beispiel des Grundstücks, das an Wert gewinnt, weil die Zerstörung des Baumes die Überbaubarkeit zur Folge hat, gehört ebenfalls in den Bereich der Extremfälle. Diese seltenen Sachverhalte dürfen nicht rechtlich verallgemeinert werden, indem die Regel aufgestellt wird, dass die Beschädigung oder Zerstörung eines Baumes nur insoweit einen Vermögensschaden bilden kann, als sie den Verkehrswert des Grundstückes mindert (gleicher Meinung HAUSHEER/JAUN, in: ZBJV 139/2003 S. 44). Massgebend ist vielmehr, welches Interesse der jeweilige Eigentümer an der Wiederherstellung des früheren Zustandes hat. Darauf ist abzustellen, wenn darüber zu entscheiden ist, ob die Beschädigung oder Zerstörung eines Baumes als Vermögensschaden zu betrachten ist. Der vom Bundesgericht in ständiger Rechtsprechung verwendete Schadensbegriff ist nicht ausschliesslich objektiv zu verstehen, sondern enthält bereits aufgrund seiner historischen Wurzeln eine subjektive, das Erhaltungsinteresse des Geschädigten berücksichtigende Komponente (HONSELL, Schweizerisches Haftpflichtrecht, 3. Aufl., Zürich 2000, S. 6 ff.; HONSELL/MAYER-MALY/SELB, Römisches BGE 129 III 331 S. 334 Recht, 4. Aufl., S. 224 Fn. 4; ROBERTO, Schadensrecht, Basel 1997, S. 11 ff.; NIKLAUS LÜCHINGER, Schadenersatz im Vertragsrecht: Grundlagen und Einzelfragen der Schadensberechnung und Schadenersatzbemessung, Diss. Freiburg 1999, S. 23 ff.). Diese subjektive Komponente erlaubt die Berücksichtigung der Interessenlage des jeweiligen Eigentümers. Hat dieser ein sachliches Interesse an der Unversehrtheit der zerstörten oder beschädigten Bäume, darf das Vorliegen eines Vermögensschadens nicht mit der Begründung verneint werden, die Zerstörung oder Beschädigung der Bäume habe den Verkehrswert des Grundstücks nicht vermindert. Lehre und Rechtsprechung betrachten denn auch übereinstimmend als sachgerecht, dass sich die Schadensbestimmung im Fall der Zerstörung oder Beschädigung von Bäumen grundsätzlich an den Kosten der Neuanpflanzung orientieren soll ( BGE 127 III 73 E. 4c; ROBERTO, a.a.O., S. 150; ALFRED KELLER, Haftpflicht im Privatrecht, Bd. II, 2. Aufl., Bern 1998, S. 104 f.). Bei solchen Sachverhalten steht der Anspruch des Geschädigten auf Naturalrestitution bzw. deren Surrogat in Form des Ersatzes der Wiederherstellungskosten im Vordergrund. Wird Geldersatz verlangt, tritt dieser an die Stelle des Naturalersatzes. Der Geldersatz ist deshalb unabhängig von einer allfälligen Vermögenseinbusse im Sinne des allgemeinen Schadensbegriffes (Differenzhypothese) zu leisten (LÜCHINGER, a.a.O., S. 26 ff.). Die Naturalrestitution gewährleistet das Integritätsinteresse des Geschädigten und ist am besten geeignet, den Ausgleichsgedanken zu verwirklichen (KOZIOL, Österreichisches Haftpflichtrecht, Bd. I: Allgemeiner Teil, 3. Aufl., Wien 1997, S. 286). Die Vorinstanz hat sich an die erwähnten Grundsätze gehalten. Die Rüge der Beklagten, der angefochtene Entscheid verletze in diesen Punkten Bundesrecht,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